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sz w:val="20"/>
          <w:szCs w:val="20"/>
        </w:rPr>
      </w:pPr>
      <w:r>
        <w:rPr>
          <w:rFonts w:ascii="Verdana" w:hAnsi="Verdana"/>
          <w:sz w:val="20"/>
          <w:szCs w:val="20"/>
        </w:rPr>
      </w:r>
    </w:p>
    <w:p>
      <w:pPr>
        <w:pStyle w:val="Normal"/>
        <w:spacing w:lineRule="auto" w:line="276"/>
        <w:jc w:val="center"/>
        <w:rPr>
          <w:rFonts w:ascii="Verdana" w:hAnsi="Verdana"/>
          <w:sz w:val="36"/>
          <w:szCs w:val="36"/>
        </w:rPr>
      </w:pPr>
      <w:r>
        <w:rPr>
          <w:rFonts w:cs="Arial" w:ascii="Verdana" w:hAnsi="Verdana"/>
          <w:b/>
          <w:bCs/>
          <w:smallCaps/>
          <w:color w:val="000000"/>
          <w:sz w:val="36"/>
          <w:szCs w:val="36"/>
        </w:rPr>
        <w:t xml:space="preserve">EDITAL </w:t>
      </w:r>
    </w:p>
    <w:p>
      <w:pPr>
        <w:pStyle w:val="Normal"/>
        <w:spacing w:lineRule="auto" w:line="276"/>
        <w:jc w:val="center"/>
        <w:rPr>
          <w:rFonts w:ascii="Verdana" w:hAnsi="Verdana"/>
          <w:sz w:val="20"/>
          <w:szCs w:val="20"/>
        </w:rPr>
      </w:pPr>
      <w:r>
        <w:rPr>
          <w:rFonts w:cs="Arial" w:ascii="Verdana" w:hAnsi="Verdana"/>
          <w:b/>
          <w:bCs/>
          <w:smallCaps/>
          <w:color w:val="000000"/>
          <w:sz w:val="36"/>
          <w:szCs w:val="36"/>
        </w:rPr>
        <w:t>PREGÃO ELETRÔNICO Nº 058/2025</w:t>
      </w:r>
    </w:p>
    <w:p>
      <w:pPr>
        <w:pStyle w:val="Normal"/>
        <w:spacing w:lineRule="auto" w:line="276"/>
        <w:jc w:val="center"/>
        <w:rPr>
          <w:rFonts w:ascii="Verdana" w:hAnsi="Verdana"/>
          <w:sz w:val="20"/>
          <w:szCs w:val="20"/>
        </w:rPr>
      </w:pPr>
      <w:r>
        <w:rPr>
          <w:rFonts w:cs="Arial" w:ascii="Verdana" w:hAnsi="Verdana"/>
          <w:b/>
          <w:bCs/>
          <w:smallCaps/>
          <w:color w:val="000000"/>
          <w:sz w:val="22"/>
          <w:szCs w:val="22"/>
        </w:rPr>
        <w:t>(Processo Administrativo n° 02310/2025 de 26/03/2025)</w:t>
      </w:r>
    </w:p>
    <w:p>
      <w:pPr>
        <w:pStyle w:val="Normal"/>
        <w:spacing w:lineRule="auto" w:line="276"/>
        <w:jc w:val="center"/>
        <w:rPr>
          <w:rFonts w:ascii="Verdana" w:hAnsi="Verdana"/>
          <w:sz w:val="20"/>
          <w:szCs w:val="20"/>
        </w:rPr>
      </w:pPr>
      <w:r>
        <w:rPr>
          <w:rFonts w:ascii="Verdana" w:hAnsi="Verdana"/>
          <w:sz w:val="20"/>
          <w:szCs w:val="20"/>
        </w:rPr>
      </w:r>
    </w:p>
    <w:p>
      <w:pPr>
        <w:pStyle w:val="BodyText"/>
        <w:spacing w:lineRule="auto" w:line="276" w:before="0" w:after="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jc w:val="both"/>
        <w:rPr>
          <w:rFonts w:ascii="Verdana" w:hAnsi="Verdana"/>
          <w:sz w:val="20"/>
          <w:szCs w:val="20"/>
        </w:rPr>
      </w:pPr>
      <w:r>
        <w:rPr>
          <w:rFonts w:cs="Arial" w:ascii="Verdana" w:hAnsi="Verdana"/>
          <w:b/>
          <w:bCs/>
          <w:color w:val="000000"/>
          <w:sz w:val="20"/>
          <w:szCs w:val="20"/>
        </w:rPr>
        <w:t>Data da sessão: 12/</w:t>
      </w:r>
      <w:r>
        <w:rPr>
          <w:rFonts w:cs="Arial" w:ascii="Verdana" w:hAnsi="Verdana"/>
          <w:b/>
          <w:bCs/>
          <w:color w:val="000000"/>
          <w:sz w:val="20"/>
          <w:szCs w:val="20"/>
        </w:rPr>
        <w:t>09</w:t>
      </w:r>
      <w:r>
        <w:rPr>
          <w:rFonts w:cs="Arial" w:ascii="Verdana" w:hAnsi="Verdana"/>
          <w:b/>
          <w:bCs/>
          <w:color w:val="000000"/>
          <w:sz w:val="20"/>
          <w:szCs w:val="20"/>
        </w:rPr>
        <w:t>/2025.</w:t>
      </w:r>
    </w:p>
    <w:p>
      <w:pPr>
        <w:pStyle w:val="Normal"/>
        <w:spacing w:lineRule="auto" w:line="276"/>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09</w:t>
      </w:r>
      <w:r>
        <w:rPr>
          <w:rFonts w:cs="Arial" w:ascii="Verdana" w:hAnsi="Verdana"/>
          <w:b/>
          <w:bCs/>
          <w:color w:val="000000"/>
          <w:sz w:val="20"/>
          <w:szCs w:val="20"/>
        </w:rPr>
        <w:t>h00min.</w:t>
      </w:r>
    </w:p>
    <w:p>
      <w:pPr>
        <w:pStyle w:val="Normal"/>
        <w:spacing w:lineRule="auto" w:line="276"/>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76"/>
        <w:rPr>
          <w:rFonts w:ascii="Verdana" w:hAnsi="Verdana" w:cs="Arial"/>
          <w:color w:val="000000"/>
          <w:sz w:val="20"/>
          <w:szCs w:val="20"/>
        </w:rPr>
      </w:pPr>
      <w:r>
        <w:rPr>
          <w:rFonts w:cs="Arial" w:ascii="Verdana" w:hAnsi="Verdana"/>
          <w:color w:val="000000"/>
          <w:sz w:val="20"/>
          <w:szCs w:val="20"/>
        </w:rPr>
      </w:r>
    </w:p>
    <w:p>
      <w:pPr>
        <w:pStyle w:val="Normal"/>
        <w:spacing w:lineRule="auto" w:line="276"/>
        <w:rPr>
          <w:color w:val="FF0000"/>
          <w:highlight w:val="none"/>
          <w:shd w:fill="FFFF00" w:val="clear"/>
        </w:rPr>
      </w:pPr>
      <w:r>
        <w:rPr>
          <w:rFonts w:cs="Arial" w:ascii="Verdana" w:hAnsi="Verdana"/>
          <w:b/>
          <w:bCs/>
          <w:color w:val="FF0000"/>
          <w:sz w:val="20"/>
          <w:szCs w:val="20"/>
          <w:u w:val="single"/>
          <w:shd w:fill="FFFF00" w:val="clear"/>
        </w:rPr>
        <w:t>A LICITAÇÃO OCORRERÁ COM EXCLUSIVIDADE PARA AS ME/EPP.</w:t>
      </w:r>
    </w:p>
    <w:p>
      <w:pPr>
        <w:pStyle w:val="Normal"/>
        <w:spacing w:lineRule="auto" w:line="276"/>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OBJETO</w:t>
      </w:r>
    </w:p>
    <w:p>
      <w:pPr>
        <w:pStyle w:val="ListParagraph"/>
        <w:spacing w:lineRule="auto" w:line="276" w:before="0" w:after="0"/>
        <w:ind w:hanging="0" w:left="0"/>
        <w:contextualSpacing w:val="false"/>
        <w:jc w:val="both"/>
        <w:rPr/>
      </w:pPr>
      <w:r>
        <w:rPr>
          <w:rFonts w:cs="Arial" w:ascii="Verdana" w:hAnsi="Verdana"/>
          <w:color w:val="000000"/>
          <w:sz w:val="20"/>
          <w:szCs w:val="20"/>
        </w:rPr>
        <w:t xml:space="preserve">1.1 O objeto da presente licitação é a </w:t>
      </w:r>
      <w:bookmarkStart w:id="1" w:name="_Hlk204586464"/>
      <w:r>
        <w:rPr>
          <w:rFonts w:eastAsia="Batang, 바탕" w:ascii="Verdana" w:hAnsi="Verdana"/>
          <w:b/>
          <w:i/>
          <w:iCs/>
          <w:sz w:val="20"/>
          <w:szCs w:val="20"/>
        </w:rPr>
        <w:t>Constituição de Ata de Registro de Preços,</w:t>
      </w:r>
      <w:r>
        <w:rPr>
          <w:rFonts w:eastAsia="Batang, 바탕" w:ascii="Verdana" w:hAnsi="Verdana"/>
          <w:iCs/>
          <w:sz w:val="20"/>
          <w:szCs w:val="20"/>
        </w:rPr>
        <w:t xml:space="preserve"> para futura e eventual </w:t>
      </w:r>
      <w:r>
        <w:rPr>
          <w:rFonts w:eastAsia="Times New Roman" w:ascii="Verdana" w:hAnsi="Verdana"/>
          <w:iCs/>
          <w:sz w:val="20"/>
          <w:szCs w:val="20"/>
        </w:rPr>
        <w:t>aquisição</w:t>
      </w:r>
      <w:r>
        <w:rPr>
          <w:rFonts w:eastAsia="Batang, 바탕" w:ascii="Verdana" w:hAnsi="Verdana"/>
          <w:iCs/>
          <w:sz w:val="20"/>
          <w:szCs w:val="20"/>
        </w:rPr>
        <w:t xml:space="preserve"> de materiais diversos de construção, para atendimento das necessidades de manutenção corretiva e preventiva e reparos gerais para os bens patrimoniais da Prefeitura Municipal de São Gabriel da Palha</w:t>
      </w:r>
      <w:bookmarkEnd w:id="1"/>
      <w:r>
        <w:rPr>
          <w:rFonts w:cs="Arial" w:ascii="Verdana" w:hAnsi="Verdana"/>
          <w:iCs/>
          <w:sz w:val="20"/>
          <w:szCs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jc w:val="both"/>
        <w:rPr>
          <w:rFonts w:ascii="Verdana" w:hAnsi="Verdana"/>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 xml:space="preserve">DO REGISTRO DE PREÇOS </w:t>
      </w:r>
    </w:p>
    <w:p>
      <w:pPr>
        <w:pStyle w:val="Normal"/>
        <w:spacing w:lineRule="auto" w:line="276"/>
        <w:jc w:val="both"/>
        <w:rPr>
          <w:rFonts w:ascii="Verdana" w:hAnsi="Verdana"/>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jc w:val="both"/>
        <w:rPr>
          <w:rFonts w:ascii="Verdana" w:hAnsi="Verdana"/>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CREDENCIAMENTO</w:t>
      </w:r>
    </w:p>
    <w:p>
      <w:pPr>
        <w:pStyle w:val="Default"/>
        <w:spacing w:lineRule="auto" w:line="276"/>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DA PARTICIPAÇÃO NO PREGÃO.</w:t>
      </w:r>
    </w:p>
    <w:p>
      <w:pPr>
        <w:pStyle w:val="Normal"/>
        <w:spacing w:lineRule="auto" w:line="276"/>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jc w:val="both"/>
        <w:rPr>
          <w:rFonts w:ascii="Verdana" w:hAnsi="Verdana"/>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jc w:val="both"/>
        <w:rPr>
          <w:rFonts w:ascii="Verdana" w:hAnsi="Verdana"/>
          <w:sz w:val="20"/>
          <w:szCs w:val="20"/>
        </w:rPr>
      </w:pPr>
      <w:r>
        <w:rPr>
          <w:rFonts w:cs="Arial" w:ascii="Verdana" w:hAnsi="Verdana"/>
          <w:iCs/>
          <w:color w:val="000000"/>
          <w:sz w:val="20"/>
          <w:szCs w:val="20"/>
        </w:rPr>
        <w:t>4.2.1 Para fazer jus aos benefícios concedidos pela lei complementar 123/2006 consolidada, a empresa que assim se enquadrar deverá assinalar no sistema responsável pelo gerenciamento do presente pregão, no campo específico lá contido.</w:t>
      </w:r>
    </w:p>
    <w:p>
      <w:pPr>
        <w:pStyle w:val="Normal"/>
        <w:spacing w:lineRule="auto" w:line="276"/>
        <w:jc w:val="both"/>
        <w:rPr>
          <w:rFonts w:ascii="Verdana" w:hAnsi="Verdana"/>
          <w:sz w:val="20"/>
          <w:szCs w:val="20"/>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0"/>
          <w:szCs w:val="20"/>
        </w:rPr>
        <w:t xml:space="preserve">junto a sua documentação de habilitação, todas as certidões relativas a regularidade fiscal, mesmo que contenham alguma restrição, e ainda, </w:t>
      </w:r>
      <w:r>
        <w:rPr>
          <w:rFonts w:cs="Arial" w:ascii="Verdana" w:hAnsi="Verdana"/>
          <w:b/>
          <w:bCs/>
          <w:sz w:val="20"/>
          <w:szCs w:val="20"/>
        </w:rPr>
        <w:t xml:space="preserve">a </w:t>
      </w:r>
      <w:r>
        <w:rPr>
          <w:rFonts w:cs="Arial" w:ascii="Verdana" w:hAnsi="Verdana"/>
          <w:b/>
          <w:bCs/>
          <w:i/>
          <w:iCs/>
          <w:sz w:val="20"/>
          <w:szCs w:val="20"/>
          <w:highlight w:val="yellow"/>
          <w:u w:val="single"/>
        </w:rPr>
        <w:t>CERTIDÃO EXPEDIDA PELA JUNTA COMERCIAL</w:t>
      </w:r>
      <w:r>
        <w:rPr>
          <w:rFonts w:cs="Arial" w:ascii="Verdana" w:hAnsi="Verdana"/>
          <w:b/>
          <w:bCs/>
          <w:sz w:val="20"/>
          <w:szCs w:val="20"/>
        </w:rPr>
        <w:t xml:space="preserve"> da região sede da empresa,</w:t>
      </w:r>
      <w:r>
        <w:rPr>
          <w:rFonts w:cs="Arial" w:ascii="Verdana" w:hAnsi="Verdana"/>
          <w:sz w:val="20"/>
          <w:szCs w:val="20"/>
        </w:rPr>
        <w:t xml:space="preserve"> demonstrando a situação de enquadramento, emitida a partir do ano de </w:t>
      </w:r>
      <w:r>
        <w:rPr>
          <w:rFonts w:cs="Arial" w:ascii="Verdana" w:hAnsi="Verdana"/>
          <w:b/>
          <w:sz w:val="20"/>
          <w:szCs w:val="20"/>
          <w:highlight w:val="yellow"/>
        </w:rPr>
        <w:t>2025</w:t>
      </w:r>
      <w:r>
        <w:rPr>
          <w:rFonts w:cs="Arial" w:ascii="Verdana" w:hAnsi="Verdana"/>
          <w:b/>
          <w:sz w:val="20"/>
          <w:szCs w:val="20"/>
        </w:rPr>
        <w:t>,</w:t>
      </w:r>
      <w:r>
        <w:rPr>
          <w:rFonts w:cs="Arial" w:ascii="Verdana" w:hAnsi="Verdana"/>
          <w:b/>
          <w:color w:val="FF0000"/>
          <w:sz w:val="20"/>
          <w:szCs w:val="20"/>
        </w:rPr>
        <w:t xml:space="preserve">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lineRule="auto" w:line="276"/>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08"/>
          <w:tab w:val="left" w:pos="1440" w:leader="none"/>
        </w:tabs>
        <w:snapToGrid w:val="false"/>
        <w:spacing w:lineRule="auto" w:line="276"/>
        <w:jc w:val="both"/>
        <w:rPr>
          <w:rFonts w:ascii="Verdana" w:hAnsi="Verdana"/>
          <w:sz w:val="20"/>
          <w:szCs w:val="20"/>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jc w:val="both"/>
        <w:rPr>
          <w:rFonts w:ascii="Verdana" w:hAnsi="Verdana"/>
          <w:sz w:val="20"/>
          <w:szCs w:val="20"/>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76"/>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0" w:after="0"/>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0" w:after="0"/>
        <w:ind w:hanging="0" w:left="0"/>
        <w:rPr>
          <w:rFonts w:ascii="Verdana" w:hAnsi="Verdana"/>
        </w:rPr>
      </w:pPr>
      <w:bookmarkStart w:id="7" w:name="art14§2"/>
      <w:bookmarkEnd w:id="7"/>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0" w:after="0"/>
        <w:ind w:hanging="0" w:left="0"/>
        <w:rPr>
          <w:rFonts w:ascii="Verdana" w:hAnsi="Verdana"/>
        </w:rPr>
      </w:pPr>
      <w:bookmarkStart w:id="8" w:name="art14§3"/>
      <w:bookmarkEnd w:id="8"/>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0" w:after="0"/>
        <w:ind w:hanging="0" w:left="0"/>
        <w:rPr>
          <w:rFonts w:ascii="Verdana" w:hAnsi="Verdana"/>
        </w:rPr>
      </w:pPr>
      <w:bookmarkStart w:id="9" w:name="art14§4"/>
      <w:bookmarkEnd w:id="9"/>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0" w:after="0"/>
        <w:ind w:hanging="0" w:left="0"/>
        <w:rPr/>
      </w:pPr>
      <w:bookmarkStart w:id="10" w:name="art14§5"/>
      <w:bookmarkEnd w:id="10"/>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0" w:after="0"/>
        <w:ind w:hanging="0" w:left="0"/>
        <w:rPr>
          <w:rFonts w:ascii="Verdana" w:hAnsi="Verdana"/>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ind w:hanging="0" w:left="0"/>
        <w:jc w:val="both"/>
        <w:rPr>
          <w:rFonts w:ascii="Verdana" w:hAnsi="Verdana"/>
          <w:sz w:val="20"/>
          <w:szCs w:val="20"/>
        </w:rPr>
      </w:pPr>
      <w:r>
        <w:rPr>
          <w:rFonts w:cs="Arial" w:ascii="Verdana" w:hAnsi="Verdana"/>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spacing w:lineRule="auto" w:line="276"/>
        <w:ind w:hanging="0" w:left="0"/>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ind w:hanging="0" w:left="0"/>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ind w:hanging="0" w:left="0"/>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ind w:hanging="0" w:left="0"/>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ind w:hanging="0" w:left="0"/>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0" w:after="0"/>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0" w:after="0"/>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0" w:after="0"/>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0" w:after="0"/>
        <w:ind w:hanging="0" w:left="0"/>
        <w:contextualSpacing w:val="false"/>
        <w:jc w:val="both"/>
        <w:rPr>
          <w:rFonts w:ascii="Verdana" w:hAnsi="Verdana"/>
          <w:sz w:val="20"/>
          <w:szCs w:val="20"/>
        </w:rPr>
      </w:pPr>
      <w:r>
        <w:rPr>
          <w:rFonts w:ascii="Verdana" w:hAnsi="Verdana"/>
          <w:sz w:val="20"/>
          <w:szCs w:val="20"/>
        </w:rPr>
        <w:t xml:space="preserve">7.8 </w:t>
      </w:r>
      <w:r>
        <w:rPr>
          <w:rFonts w:ascii="Verdana" w:hAnsi="Verdana"/>
          <w:sz w:val="20"/>
          <w:szCs w:val="20"/>
          <w:highlight w:val="yellow"/>
        </w:rPr>
        <w:t>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highlight w:val="yellow"/>
        </w:rPr>
        <w:t xml:space="preserve"> </w:t>
      </w:r>
      <w:r>
        <w:rPr>
          <w:rFonts w:ascii="Verdana" w:hAnsi="Verdana"/>
          <w:b/>
          <w:bCs/>
          <w:i/>
          <w:iCs/>
          <w:sz w:val="20"/>
          <w:szCs w:val="20"/>
          <w:highlight w:val="yellow"/>
        </w:rPr>
        <w:t>de R$ 0,01. (um centavo)</w:t>
      </w:r>
      <w:r>
        <w:rPr>
          <w:rFonts w:ascii="Verdana" w:hAnsi="Verdana"/>
          <w:i/>
          <w:iCs/>
          <w:sz w:val="20"/>
          <w:szCs w:val="20"/>
          <w:highlight w:val="yellow"/>
        </w:rPr>
        <w:t>.</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76"/>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lineRule="auto" w:line="276"/>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76"/>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76"/>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lineRule="auto" w:line="276"/>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76"/>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lineRule="auto" w:line="276"/>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76"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lineRule="auto" w:line="276" w:before="0"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0" w:after="0"/>
        <w:ind w:hanging="0" w:left="0"/>
        <w:contextualSpacing w:val="false"/>
        <w:jc w:val="both"/>
        <w:rPr/>
      </w:pPr>
      <w:bookmarkStart w:id="11"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1"/>
          <w:sz w:val="20"/>
          <w:u w:val="single"/>
          <w:szCs w:val="20"/>
          <w:rFonts w:cs="Arial" w:ascii="Verdana" w:hAnsi="Verdana"/>
          <w:color w:val="000080"/>
        </w:rPr>
        <w:instrText xml:space="preserve"> HYPERLINK "http://www.planalto.gov.br/ccivil_03/_ato2019-2022/2021/lei/L14133.htm" \l "art14"</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 14 da Lei nº 14.133/2021</w:t>
      </w:r>
      <w:r>
        <w:rPr>
          <w:rStyle w:val="ListLabel291"/>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1"/>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artigo 29 a 35 da IN SEGES nº 73, de 30 de setembro de 2022</w:t>
      </w:r>
      <w:r>
        <w:rPr>
          <w:rStyle w:val="ListLabel2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before="0" w:after="0"/>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0" w:after="0"/>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76" w:before="0" w:after="0"/>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2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0" w:after="0"/>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2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2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2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0" w:after="0"/>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2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Normal"/>
        <w:snapToGrid w:val="false"/>
        <w:spacing w:lineRule="auto" w:line="276"/>
        <w:jc w:val="both"/>
        <w:rPr>
          <w:rFonts w:ascii="Verdana" w:hAnsi="Verdana"/>
          <w:sz w:val="20"/>
          <w:szCs w:val="20"/>
        </w:rPr>
      </w:pPr>
      <w:r>
        <w:rPr>
          <w:rFonts w:ascii="Verdana" w:hAnsi="Verdana"/>
          <w:sz w:val="20"/>
          <w:szCs w:val="20"/>
        </w:rPr>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napToGrid w:val="false"/>
        <w:spacing w:lineRule="auto" w:line="276"/>
        <w:jc w:val="both"/>
        <w:rPr>
          <w:rFonts w:ascii="Verdana" w:hAnsi="Verdana"/>
          <w:sz w:val="20"/>
          <w:szCs w:val="20"/>
        </w:rPr>
      </w:pPr>
      <w:r>
        <w:rPr>
          <w:rFonts w:ascii="Verdana" w:hAnsi="Verdana"/>
          <w:sz w:val="20"/>
          <w:szCs w:val="20"/>
        </w:rPr>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0" w:after="0"/>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0" w:after="0"/>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lang w:eastAsia="en-US"/>
        </w:rPr>
        <w:t>DOS RECURSOS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0" w:after="0"/>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0" w:after="0"/>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0" w:after="0"/>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rPr>
          <w:rFonts w:ascii="Verdana" w:hAnsi="Verdana" w:cs="Arial"/>
          <w:sz w:val="20"/>
          <w:szCs w:val="20"/>
        </w:rPr>
      </w:pPr>
      <w:r>
        <w:rPr>
          <w:rFonts w:cs="Arial"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 xml:space="preserve">DA ADJUDICAÇÃO E HOMOLOGAÇÃO </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0" w:after="0"/>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color w:val="auto"/>
        </w:rPr>
        <w:t xml:space="preserve">DA GARANTIA DE EXECUÇÃO </w:t>
      </w:r>
    </w:p>
    <w:p>
      <w:pPr>
        <w:pStyle w:val="ListParagraph"/>
        <w:numPr>
          <w:ilvl w:val="1"/>
          <w:numId w:val="2"/>
        </w:numPr>
        <w:spacing w:lineRule="auto" w:line="276" w:before="0" w:after="0"/>
        <w:ind w:hanging="0" w:left="0"/>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120" w:leader="none"/>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120" w:leader="none"/>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0" w:after="0"/>
        <w:ind w:hanging="0" w:left="0"/>
        <w:contextualSpacing w:val="false"/>
        <w:jc w:val="both"/>
        <w:rPr>
          <w:rFonts w:ascii="Verdana" w:hAnsi="Verdana"/>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before="0" w:after="0"/>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0" w:after="0"/>
        <w:ind w:hanging="0"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0" w:after="0"/>
        <w:rPr>
          <w:rFonts w:ascii="Verdana" w:hAnsi="Verdana"/>
        </w:rPr>
      </w:pPr>
      <w:r>
        <w:rPr>
          <w:rFonts w:cs="Arial" w:ascii="Verdana" w:hAnsi="Verdana"/>
        </w:rPr>
        <w:t>16. DO REAJUSTAMENTO EM SENTIDO GERAL</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rPr>
        <w:t>17. DA ACEITAÇÃO DO OBJETO E DA FISCALIZAÇÃO</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76"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lang w:eastAsia="en-US"/>
        </w:rPr>
        <w:t>18. DAS OBRIGAÇÕES DA CONTRATANTE E DA CONTRATADA</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76"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Tahoma" w:ascii="Verdana" w:hAnsi="Verdana"/>
          <w:color w:val="auto"/>
        </w:rPr>
        <w:t>19</w:t>
      </w:r>
      <w:r>
        <w:rPr>
          <w:rFonts w:cs="Arial" w:ascii="Verdana" w:hAnsi="Verdana"/>
        </w:rPr>
        <w:t>. DO PAGAMENTO</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76"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rPr>
        <w:t>20. DAS SANÇÕES ADMINISTRATIVAS.</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20.1.1 D</w:t>
      </w:r>
      <w:bookmarkStart w:id="12"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2"/>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 xml:space="preserve">20.1.2 </w:t>
      </w:r>
      <w:bookmarkStart w:id="13" w:name="_Ref114668108"/>
      <w:r>
        <w:rPr>
          <w:rFonts w:cs="Arial" w:ascii="Verdana" w:hAnsi="Verdana"/>
          <w:sz w:val="20"/>
          <w:szCs w:val="20"/>
          <w:shd w:fill="FFFFFF" w:val="clear"/>
        </w:rPr>
        <w:t>Salvo em decorrência de fato superveniente devidamente justificado, não mantiver a proposta em especial quando:</w:t>
      </w:r>
      <w:bookmarkEnd w:id="13"/>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jc w:val="both"/>
        <w:rPr>
          <w:rFonts w:ascii="Verdana" w:hAnsi="Verdana"/>
          <w:sz w:val="20"/>
          <w:szCs w:val="20"/>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pPr>
        <w:pStyle w:val="Normal"/>
        <w:spacing w:lineRule="auto" w:line="276"/>
        <w:jc w:val="both"/>
        <w:rPr>
          <w:rFonts w:ascii="Verdana" w:hAnsi="Verdana"/>
          <w:sz w:val="20"/>
          <w:szCs w:val="20"/>
        </w:rPr>
      </w:pPr>
      <w:r>
        <w:rPr>
          <w:rFonts w:ascii="Verdana" w:hAnsi="Verdana"/>
          <w:sz w:val="20"/>
          <w:szCs w:val="20"/>
        </w:rPr>
        <w:t>20.1.5 F</w:t>
      </w:r>
      <w:bookmarkStart w:id="15" w:name="_Ref114668245"/>
      <w:r>
        <w:rPr>
          <w:rFonts w:ascii="Verdana" w:hAnsi="Verdana"/>
          <w:sz w:val="20"/>
          <w:szCs w:val="20"/>
        </w:rPr>
        <w:t>raudar a licitação</w:t>
      </w:r>
      <w:bookmarkEnd w:id="15"/>
    </w:p>
    <w:p>
      <w:pPr>
        <w:pStyle w:val="Normal"/>
        <w:spacing w:lineRule="auto" w:line="276"/>
        <w:jc w:val="both"/>
        <w:rPr>
          <w:rFonts w:ascii="Verdana" w:hAnsi="Verdana"/>
          <w:sz w:val="20"/>
          <w:szCs w:val="20"/>
        </w:rPr>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pPr>
        <w:pStyle w:val="Normal"/>
        <w:spacing w:lineRule="auto" w:line="276"/>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76"/>
        <w:jc w:val="both"/>
        <w:rPr>
          <w:rFonts w:ascii="Verdana" w:hAnsi="Verdana"/>
          <w:sz w:val="20"/>
          <w:szCs w:val="20"/>
        </w:rPr>
      </w:pPr>
      <w:r>
        <w:rPr>
          <w:rFonts w:ascii="Verdana" w:hAnsi="Verdana"/>
          <w:sz w:val="20"/>
          <w:szCs w:val="20"/>
        </w:rPr>
        <w:t>20.1.6.2 Induzir deliberadamente a erro no julgamento;</w:t>
      </w:r>
    </w:p>
    <w:p>
      <w:pPr>
        <w:pStyle w:val="Normal"/>
        <w:spacing w:lineRule="auto" w:line="276"/>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76"/>
        <w:jc w:val="both"/>
        <w:rPr>
          <w:rFonts w:ascii="Verdana" w:hAnsi="Verdana"/>
          <w:sz w:val="20"/>
          <w:szCs w:val="20"/>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pPr>
        <w:pStyle w:val="Normal"/>
        <w:spacing w:lineRule="auto" w:line="276"/>
        <w:jc w:val="both"/>
        <w:rPr/>
      </w:pPr>
      <w:r>
        <w:rPr>
          <w:rFonts w:ascii="Verdana" w:hAnsi="Verdana"/>
          <w:sz w:val="20"/>
          <w:szCs w:val="20"/>
        </w:rPr>
        <w:t>20.1.8 P</w:t>
      </w:r>
      <w:bookmarkStart w:id="18" w:name="_Ref114668252"/>
      <w:r>
        <w:rPr>
          <w:rFonts w:ascii="Verdana" w:hAnsi="Verdana"/>
          <w:sz w:val="20"/>
          <w:szCs w:val="20"/>
        </w:rPr>
        <w:t xml:space="preserve">raticar ato lesivo previsto no </w:t>
      </w:r>
      <w:r>
        <w:fldChar w:fldCharType="begin"/>
      </w:r>
      <w:r>
        <w:rPr>
          <w:rStyle w:val="ListLabel295"/>
          <w:sz w:val="20"/>
          <w:szCs w:val="20"/>
          <w:rFonts w:ascii="Verdana" w:hAnsi="Verdana"/>
          <w:color w:val="000000"/>
        </w:rPr>
        <w:instrText xml:space="preserve"> HYPERLINK "https://www.planalto.gov.br/ccivil_03/_ato2011-2014/2013/lei/l12846.htm" \l "art5"</w:instrText>
      </w:r>
      <w:r>
        <w:rPr>
          <w:rStyle w:val="ListLabel295"/>
          <w:sz w:val="20"/>
          <w:szCs w:val="20"/>
          <w:rFonts w:ascii="Verdana" w:hAnsi="Verdana"/>
          <w:color w:val="000000"/>
        </w:rPr>
        <w:fldChar w:fldCharType="separate"/>
      </w:r>
      <w:r>
        <w:rPr>
          <w:rStyle w:val="ListLabel295"/>
          <w:rFonts w:ascii="Verdana" w:hAnsi="Verdana"/>
          <w:color w:val="000000"/>
          <w:sz w:val="20"/>
          <w:szCs w:val="20"/>
        </w:rPr>
        <w:t>art. 5º da Lei n.º 12.846, de 2013</w:t>
      </w:r>
      <w:r>
        <w:rPr>
          <w:rStyle w:val="ListLabel295"/>
          <w:sz w:val="20"/>
          <w:szCs w:val="20"/>
          <w:rFonts w:ascii="Verdana" w:hAnsi="Verdana"/>
          <w:color w:val="000000"/>
        </w:rPr>
        <w:fldChar w:fldCharType="end"/>
      </w:r>
      <w:r>
        <w:rPr>
          <w:rFonts w:ascii="Verdana" w:hAnsi="Verdana"/>
          <w:sz w:val="20"/>
          <w:szCs w:val="20"/>
        </w:rPr>
        <w:t>.</w:t>
      </w:r>
      <w:bookmarkEnd w:id="18"/>
    </w:p>
    <w:p>
      <w:pPr>
        <w:pStyle w:val="Nivel2"/>
        <w:numPr>
          <w:ilvl w:val="0"/>
          <w:numId w:val="0"/>
        </w:numPr>
        <w:spacing w:before="0" w:after="0"/>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0" w:after="0"/>
        <w:ind w:hanging="0" w:left="0"/>
        <w:rPr>
          <w:rFonts w:ascii="Verdana" w:hAnsi="Verdana"/>
        </w:rPr>
      </w:pPr>
      <w:r>
        <w:rPr>
          <w:rFonts w:ascii="Verdana" w:hAnsi="Verdana"/>
        </w:rPr>
        <w:t>20.2.1 advertência;</w:t>
      </w:r>
    </w:p>
    <w:p>
      <w:pPr>
        <w:pStyle w:val="Nivel2"/>
        <w:numPr>
          <w:ilvl w:val="0"/>
          <w:numId w:val="0"/>
        </w:numPr>
        <w:spacing w:before="0" w:after="0"/>
        <w:ind w:hanging="0" w:left="0"/>
        <w:rPr>
          <w:rFonts w:ascii="Verdana" w:hAnsi="Verdana"/>
        </w:rPr>
      </w:pPr>
      <w:r>
        <w:rPr>
          <w:rFonts w:ascii="Verdana" w:hAnsi="Verdana"/>
        </w:rPr>
        <w:t>20.2.2 multa;</w:t>
      </w:r>
    </w:p>
    <w:p>
      <w:pPr>
        <w:pStyle w:val="Nivel2"/>
        <w:numPr>
          <w:ilvl w:val="0"/>
          <w:numId w:val="0"/>
        </w:numPr>
        <w:spacing w:before="0" w:after="0"/>
        <w:ind w:hanging="0" w:left="0"/>
        <w:rPr>
          <w:rFonts w:ascii="Verdana" w:hAnsi="Verdana"/>
        </w:rPr>
      </w:pPr>
      <w:r>
        <w:rPr>
          <w:rFonts w:ascii="Verdana" w:hAnsi="Verdana"/>
        </w:rPr>
        <w:t>20.2.3 impedimento de licitar e contratar e</w:t>
      </w:r>
    </w:p>
    <w:p>
      <w:pPr>
        <w:pStyle w:val="Nivel2"/>
        <w:numPr>
          <w:ilvl w:val="0"/>
          <w:numId w:val="0"/>
        </w:numPr>
        <w:spacing w:before="0" w:after="0"/>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0" w:after="0"/>
        <w:ind w:hanging="0" w:left="0"/>
        <w:rPr>
          <w:rFonts w:ascii="Verdana" w:hAnsi="Verdana"/>
        </w:rPr>
      </w:pPr>
      <w:r>
        <w:rPr>
          <w:rFonts w:ascii="Verdana" w:hAnsi="Verdana"/>
        </w:rPr>
        <w:t>20.3 Na aplicação das sanções serão considerados:</w:t>
      </w:r>
    </w:p>
    <w:p>
      <w:pPr>
        <w:pStyle w:val="Nivel2"/>
        <w:numPr>
          <w:ilvl w:val="0"/>
          <w:numId w:val="0"/>
        </w:numPr>
        <w:spacing w:before="0" w:after="0"/>
        <w:ind w:hanging="0" w:left="0"/>
        <w:rPr>
          <w:rFonts w:ascii="Verdana" w:hAnsi="Verdana"/>
        </w:rPr>
      </w:pPr>
      <w:r>
        <w:rPr>
          <w:rFonts w:ascii="Verdana" w:hAnsi="Verdana"/>
        </w:rPr>
        <w:t>20.3.1 a natureza e a gravidade da infração cometida.</w:t>
      </w:r>
    </w:p>
    <w:p>
      <w:pPr>
        <w:pStyle w:val="Nivel2"/>
        <w:numPr>
          <w:ilvl w:val="0"/>
          <w:numId w:val="0"/>
        </w:numPr>
        <w:spacing w:before="0" w:after="0"/>
        <w:ind w:hanging="0" w:left="0"/>
        <w:rPr>
          <w:rFonts w:ascii="Verdana" w:hAnsi="Verdana"/>
        </w:rPr>
      </w:pPr>
      <w:r>
        <w:rPr>
          <w:rFonts w:ascii="Verdana" w:hAnsi="Verdana"/>
        </w:rPr>
        <w:t>20.3.2 as peculiaridades do caso concreto</w:t>
      </w:r>
    </w:p>
    <w:p>
      <w:pPr>
        <w:pStyle w:val="Nivel2"/>
        <w:numPr>
          <w:ilvl w:val="0"/>
          <w:numId w:val="0"/>
        </w:numPr>
        <w:spacing w:before="0" w:after="0"/>
        <w:ind w:hanging="0" w:left="0"/>
        <w:rPr>
          <w:rFonts w:ascii="Verdana" w:hAnsi="Verdana"/>
        </w:rPr>
      </w:pPr>
      <w:r>
        <w:rPr>
          <w:rFonts w:ascii="Verdana" w:hAnsi="Verdana"/>
        </w:rPr>
        <w:t>20.3.3 as circunstâncias agravantes ou atenuantes</w:t>
      </w:r>
    </w:p>
    <w:p>
      <w:pPr>
        <w:pStyle w:val="Nivel2"/>
        <w:numPr>
          <w:ilvl w:val="0"/>
          <w:numId w:val="0"/>
        </w:numPr>
        <w:spacing w:before="0" w:after="0"/>
        <w:ind w:hanging="0" w:left="0"/>
        <w:rPr>
          <w:rFonts w:ascii="Verdana" w:hAnsi="Verdana"/>
        </w:rPr>
      </w:pPr>
      <w:r>
        <w:rPr>
          <w:rFonts w:ascii="Verdana" w:hAnsi="Verdana"/>
        </w:rPr>
        <w:t>20.3.4 os danos que dela provierem para a Administração Pública</w:t>
      </w:r>
    </w:p>
    <w:p>
      <w:pPr>
        <w:pStyle w:val="Nivel2"/>
        <w:numPr>
          <w:ilvl w:val="0"/>
          <w:numId w:val="0"/>
        </w:numPr>
        <w:spacing w:before="0" w:after="0"/>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before="0" w:after="0"/>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before="0" w:after="0"/>
        <w:ind w:hanging="0" w:left="0"/>
        <w:rPr>
          <w:rFonts w:ascii="Verdana" w:hAnsi="Verdana"/>
        </w:rPr>
      </w:pPr>
      <w:r>
        <w:rPr>
          <w:rFonts w:ascii="Verdana" w:hAnsi="Verdana"/>
        </w:rPr>
        <w:t xml:space="preserve">20.4.1 </w:t>
      </w:r>
      <w:bookmarkStart w:id="19" w:name="_Hlk113876035_Copia_1"/>
      <w:bookmarkStart w:id="20" w:name="_Hlk113876035"/>
      <w:r>
        <w:rPr>
          <w:rFonts w:ascii="Verdana" w:hAnsi="Verdana"/>
        </w:rPr>
        <w:t>Para as infrações previstas nos itens 20.1.1, 20.1.2 e 20.1.3, a multa será de 5% do valor do contrato licitado.</w:t>
      </w:r>
      <w:bookmarkEnd w:id="19"/>
      <w:bookmarkEnd w:id="20"/>
    </w:p>
    <w:p>
      <w:pPr>
        <w:pStyle w:val="Nivel2"/>
        <w:numPr>
          <w:ilvl w:val="0"/>
          <w:numId w:val="0"/>
        </w:numPr>
        <w:spacing w:before="0" w:after="0"/>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before="0" w:after="0"/>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0" w:after="0"/>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before="0" w:after="0"/>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0" w:after="0"/>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6"/>
          <w:rFonts w:ascii="Verdana" w:hAnsi="Verdana"/>
          <w:color w:val="000000"/>
        </w:rPr>
        <w:instrText xml:space="preserve"> HYPERLINK "http://www.planalto.gov.br/ccivil_03/_ato2019-2022/2021/lei/L14133.htm" \l "art156%C2%A75"</w:instrText>
      </w:r>
      <w:r>
        <w:rPr>
          <w:rStyle w:val="ListLabel296"/>
          <w:rFonts w:ascii="Verdana" w:hAnsi="Verdana"/>
          <w:color w:val="000000"/>
        </w:rPr>
        <w:fldChar w:fldCharType="separate"/>
      </w:r>
      <w:r>
        <w:rPr>
          <w:rStyle w:val="ListLabel296"/>
          <w:rFonts w:ascii="Verdana" w:hAnsi="Verdana"/>
          <w:color w:val="000000"/>
        </w:rPr>
        <w:t>art. 156, §5º, da Lei n.º 14.133/2021</w:t>
      </w:r>
      <w:r>
        <w:rPr>
          <w:rStyle w:val="ListLabel296"/>
          <w:rFonts w:ascii="Verdana" w:hAnsi="Verdana"/>
          <w:color w:val="000000"/>
        </w:rPr>
        <w:fldChar w:fldCharType="end"/>
      </w:r>
      <w:r>
        <w:rPr>
          <w:rFonts w:ascii="Verdana" w:hAnsi="Verdana"/>
        </w:rPr>
        <w:t>.</w:t>
      </w:r>
    </w:p>
    <w:p>
      <w:pPr>
        <w:pStyle w:val="Nivel2"/>
        <w:numPr>
          <w:ilvl w:val="0"/>
          <w:numId w:val="0"/>
        </w:numPr>
        <w:spacing w:before="0" w:after="0"/>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296"/>
            <w:rFonts w:ascii="Verdana" w:hAnsi="Verdana"/>
            <w:color w:val="000000"/>
          </w:rPr>
          <w:t>art. 45, §4º da IN SEGES/ME n.º 73, de 2022</w:t>
        </w:r>
      </w:hyperlink>
      <w:r>
        <w:rPr>
          <w:rFonts w:ascii="Verdana" w:hAnsi="Verdana"/>
        </w:rPr>
        <w:t xml:space="preserve">. </w:t>
      </w:r>
    </w:p>
    <w:p>
      <w:pPr>
        <w:pStyle w:val="Nivel2"/>
        <w:numPr>
          <w:ilvl w:val="0"/>
          <w:numId w:val="0"/>
        </w:numPr>
        <w:spacing w:before="0" w:after="0"/>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0" w:after="0"/>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0" w:after="0"/>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0" w:after="0"/>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before="0" w:after="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0" w:after="0"/>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0" w:after="0"/>
        <w:rPr>
          <w:rFonts w:ascii="Verdana" w:hAnsi="Verdana"/>
        </w:rPr>
      </w:pPr>
      <w:r>
        <w:rPr>
          <w:rFonts w:cs="Arial" w:ascii="Verdana" w:hAnsi="Verdana"/>
        </w:rPr>
        <w:t>21. DA IMPUGNAÇÃO AO EDITAL E DO PEDIDO DE ESCLARECIMENTO</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0" w:after="0"/>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2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rFonts w:ascii="Verdana" w:hAnsi="Verdana"/>
        </w:rPr>
      </w:pPr>
      <w:r>
        <w:rPr>
          <w:rFonts w:cs="Arial" w:ascii="Verdana" w:hAnsi="Verdana"/>
        </w:rPr>
        <w:t>22. DAS DISPOSIÇÕES GERAIS</w:t>
      </w:r>
    </w:p>
    <w:p>
      <w:pPr>
        <w:pStyle w:val="Normal"/>
        <w:spacing w:lineRule="auto" w:line="276"/>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76"/>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76"/>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1" w:name="_Hlk123138684_Copia_3"/>
      <w:r>
        <w:rPr>
          <w:rFonts w:cs="Arial" w:ascii="Verdana" w:hAnsi="Verdana"/>
          <w:color w:val="000000"/>
          <w:sz w:val="20"/>
          <w:szCs w:val="20"/>
          <w:u w:val="single"/>
        </w:rPr>
        <w:t>www.portaldecompraspublicas.com.br</w:t>
      </w:r>
      <w:bookmarkEnd w:id="21"/>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293"/>
            <w:rFonts w:ascii="Verdana" w:hAnsi="Verdana"/>
            <w:color w:val="000080"/>
            <w:sz w:val="20"/>
            <w:szCs w:val="20"/>
            <w:u w:val="single"/>
          </w:rPr>
          <w:t>licitacao@</w:t>
        </w:r>
      </w:hyperlink>
      <w:hyperlink r:id="rId11">
        <w:r>
          <w:rPr>
            <w:rStyle w:val="ListLabel293"/>
            <w:rFonts w:ascii="Verdana" w:hAnsi="Verdana"/>
            <w:color w:val="000080"/>
            <w:sz w:val="20"/>
            <w:szCs w:val="20"/>
            <w:u w:val="single"/>
          </w:rPr>
          <w:t>saogabriel</w:t>
        </w:r>
      </w:hyperlink>
      <w:hyperlink r:id="rId12">
        <w:r>
          <w:rPr>
            <w:rStyle w:val="ListLabel2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76"/>
        <w:jc w:val="both"/>
        <w:rPr>
          <w:rFonts w:ascii="Verdana" w:hAnsi="Verdana"/>
          <w:sz w:val="20"/>
          <w:szCs w:val="20"/>
        </w:rPr>
      </w:pPr>
      <w:r>
        <w:rPr>
          <w:rFonts w:cs="Arial" w:ascii="Verdana" w:hAnsi="Verdana"/>
          <w:color w:val="000000"/>
          <w:sz w:val="20"/>
          <w:szCs w:val="20"/>
        </w:rPr>
        <w:t>22.12.1 ANEXO I – Termo de Referência;</w:t>
      </w:r>
    </w:p>
    <w:p>
      <w:pPr>
        <w:pStyle w:val="Normal"/>
        <w:spacing w:lineRule="auto" w:line="276"/>
        <w:jc w:val="both"/>
        <w:rPr>
          <w:rFonts w:ascii="Verdana" w:hAnsi="Verdana"/>
          <w:sz w:val="20"/>
          <w:szCs w:val="20"/>
        </w:rPr>
      </w:pPr>
      <w:r>
        <w:rPr>
          <w:rFonts w:cs="Arial" w:ascii="Verdana" w:hAnsi="Verdana"/>
          <w:color w:val="000000"/>
          <w:sz w:val="20"/>
          <w:szCs w:val="20"/>
        </w:rPr>
        <w:t>22.12.2 ANEXO I-1 – Estudo Técnico Preliminar;</w:t>
      </w:r>
    </w:p>
    <w:p>
      <w:pPr>
        <w:pStyle w:val="Normal"/>
        <w:spacing w:lineRule="auto" w:line="276"/>
        <w:jc w:val="both"/>
        <w:rPr>
          <w:rFonts w:ascii="Verdana" w:hAnsi="Verdana"/>
          <w:sz w:val="20"/>
          <w:szCs w:val="20"/>
        </w:rPr>
      </w:pPr>
      <w:r>
        <w:rPr>
          <w:rFonts w:cs="Arial" w:ascii="Verdana" w:hAnsi="Verdana"/>
          <w:color w:val="000000"/>
          <w:sz w:val="20"/>
          <w:szCs w:val="20"/>
        </w:rPr>
        <w:t>22.12.2.1 ANEXO II – Modelo Orientativo de Proposta;</w:t>
      </w:r>
    </w:p>
    <w:p>
      <w:pPr>
        <w:pStyle w:val="Normal"/>
        <w:tabs>
          <w:tab w:val="clear" w:pos="708"/>
          <w:tab w:val="left" w:pos="800" w:leader="none"/>
        </w:tabs>
        <w:snapToGrid w:val="false"/>
        <w:spacing w:lineRule="auto" w:line="276"/>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76"/>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76"/>
        <w:ind w:hanging="0" w:left="360"/>
        <w:jc w:val="center"/>
        <w:outlineLvl w:val="0"/>
        <w:rPr>
          <w:rFonts w:ascii="Verdana" w:hAnsi="Verdana"/>
          <w:sz w:val="20"/>
          <w:szCs w:val="20"/>
        </w:rPr>
      </w:pPr>
      <w:r>
        <w:rPr>
          <w:rFonts w:cs="Arial" w:ascii="Verdana" w:hAnsi="Verdana"/>
          <w:color w:val="000000"/>
          <w:sz w:val="20"/>
          <w:szCs w:val="20"/>
        </w:rPr>
        <w:t>São Gabriel da Palha/ES, 25 de agosto de 2025.</w:t>
      </w:r>
    </w:p>
    <w:p>
      <w:pPr>
        <w:pStyle w:val="Normal"/>
        <w:tabs>
          <w:tab w:val="clear" w:pos="708"/>
          <w:tab w:val="left" w:pos="1440" w:leader="none"/>
        </w:tabs>
        <w:snapToGrid w:val="false"/>
        <w:spacing w:lineRule="auto" w:line="276"/>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ind w:hanging="0"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ind w:hanging="0" w:left="0" w:right="113"/>
        <w:jc w:val="center"/>
        <w:outlineLvl w:val="0"/>
        <w:rPr>
          <w:rFonts w:ascii="Verdana" w:hAnsi="Verdana"/>
          <w:sz w:val="20"/>
          <w:szCs w:val="20"/>
        </w:rPr>
      </w:pPr>
      <w:r>
        <w:rPr>
          <w:rFonts w:eastAsia="" w:cs="Arial" w:ascii="Verdana" w:hAnsi="Verdana" w:eastAsiaTheme="majorEastAsia"/>
          <w:b/>
          <w:bCs/>
          <w:color w:val="000000"/>
          <w:sz w:val="20"/>
          <w:szCs w:val="20"/>
        </w:rPr>
        <w:t>MAIKEL PAIVA</w:t>
      </w:r>
    </w:p>
    <w:p>
      <w:pPr>
        <w:pStyle w:val="Normal"/>
        <w:keepNext w:val="true"/>
        <w:keepLines/>
        <w:numPr>
          <w:ilvl w:val="0"/>
          <w:numId w:val="0"/>
        </w:numPr>
        <w:tabs>
          <w:tab w:val="clear" w:pos="708"/>
          <w:tab w:val="left" w:pos="567" w:leader="none"/>
        </w:tabs>
        <w:ind w:hanging="0" w:left="0" w:right="113"/>
        <w:jc w:val="center"/>
        <w:outlineLvl w:val="0"/>
        <w:rPr>
          <w:rFonts w:ascii="Verdana" w:hAnsi="Verdana"/>
          <w:sz w:val="20"/>
          <w:szCs w:val="20"/>
        </w:rPr>
      </w:pPr>
      <w:bookmarkStart w:id="22" w:name="_Hlk204586435"/>
      <w:r>
        <w:rPr>
          <w:rFonts w:eastAsia="" w:cs="Arial" w:ascii="Verdana" w:hAnsi="Verdana" w:eastAsiaTheme="majorEastAsia"/>
          <w:b/>
          <w:bCs/>
          <w:color w:val="000000"/>
          <w:sz w:val="20"/>
          <w:szCs w:val="20"/>
        </w:rPr>
        <w:t>Secretário Municipal de Obras e Desenvolvimento Urbano</w:t>
      </w:r>
      <w:bookmarkEnd w:id="22"/>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3886</TotalTime>
  <Application>LibreOffice/24.2.6.2$Windows_X86_64 LibreOffice_project/ef66aa7e36a1bb8e65bfbc63aba53045a14d0871</Application>
  <AppVersion>15.0000</AppVersion>
  <Pages>16</Pages>
  <Words>8352</Words>
  <Characters>47254</Characters>
  <CharactersWithSpaces>55220</CharactersWithSpaces>
  <Paragraphs>317</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2024-05-29T14:00:00Z</dcterms:created>
  <dc:creator>Compras</dc:creator>
  <dc:description/>
  <dc:language>pt-BR</dc:language>
  <cp:lastModifiedBy/>
  <cp:lastPrinted>2025-08-25T14:57:25Z</cp:lastPrinted>
  <dcterms:modified xsi:type="dcterms:W3CDTF">2025-08-26T15:41:00Z</dcterms:modified>
  <cp:revision>200</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